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sz w:val="32"/>
          <w:szCs w:val="32"/>
        </w:rPr>
      </w:pPr>
      <w:r>
        <w:rPr>
          <w:rFonts w:hint="eastAsia" w:ascii="方正黑体_GBK" w:eastAsia="方正黑体_GBK"/>
          <w:snapToGrid w:val="0"/>
          <w:sz w:val="32"/>
          <w:szCs w:val="32"/>
        </w:rPr>
        <w:t>附件2</w:t>
      </w: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广西壮族自治区国有企业工资总额</w:t>
      </w:r>
    </w:p>
    <w:p>
      <w:pPr>
        <w:adjustRightInd w:val="0"/>
        <w:snapToGrid w:val="0"/>
        <w:spacing w:line="59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执行结果备案办法</w:t>
      </w: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第一条  </w:t>
      </w:r>
      <w:r>
        <w:rPr>
          <w:rFonts w:hint="eastAsia" w:eastAsia="方正仿宋_GBK"/>
          <w:snapToGrid w:val="0"/>
          <w:sz w:val="32"/>
          <w:szCs w:val="32"/>
        </w:rPr>
        <w:t>为加强对国有企业工资分配的监督管理，规范工资总额执行结果备案行为，根据《国务院关于改革国有企业工资决定机制的意见》（国发〔2018〕16号），特制定本办法。</w:t>
      </w:r>
    </w:p>
    <w:p>
      <w:pPr>
        <w:pStyle w:val="4"/>
        <w:autoSpaceDE/>
        <w:autoSpaceDN/>
        <w:snapToGrid w:val="0"/>
        <w:spacing w:line="590" w:lineRule="exact"/>
        <w:ind w:firstLine="640" w:firstLineChars="200"/>
        <w:jc w:val="both"/>
        <w:rPr>
          <w:rFonts w:hint="eastAsia" w:ascii="Times New Roman" w:eastAsia="方正仿宋_GBK" w:cs="Times New Roman"/>
          <w:snapToGrid w:val="0"/>
          <w:color w:val="auto"/>
          <w:kern w:val="2"/>
          <w:sz w:val="32"/>
          <w:szCs w:val="32"/>
        </w:rPr>
      </w:pPr>
      <w:r>
        <w:rPr>
          <w:rFonts w:hint="eastAsia" w:ascii="方正黑体_GBK" w:eastAsia="方正黑体_GBK" w:cs="Times New Roman"/>
          <w:snapToGrid w:val="0"/>
          <w:color w:val="auto"/>
          <w:kern w:val="2"/>
          <w:sz w:val="32"/>
          <w:szCs w:val="32"/>
        </w:rPr>
        <w:t xml:space="preserve">第二条 </w:t>
      </w:r>
      <w:r>
        <w:rPr>
          <w:rFonts w:hint="eastAsia" w:ascii="Times New Roman" w:eastAsia="方正仿宋_GBK" w:cs="Times New Roman"/>
          <w:snapToGrid w:val="0"/>
          <w:color w:val="auto"/>
          <w:kern w:val="2"/>
          <w:sz w:val="32"/>
          <w:szCs w:val="32"/>
        </w:rPr>
        <w:t xml:space="preserve"> 本办法适用于全区各级政府代表国家履行出资人职责的国有独资及国有控股企业。履行出资人职责机构包括代表政府履行出资人职责的国有资产监管机构和政府授权履行出资人职责的部门（机构）；国有独资及国有控股企业包括企业本部及其所出资的各级独资、控股的子企业。 </w:t>
      </w:r>
    </w:p>
    <w:p>
      <w:pPr>
        <w:pStyle w:val="4"/>
        <w:autoSpaceDE/>
        <w:autoSpaceDN/>
        <w:snapToGrid w:val="0"/>
        <w:spacing w:line="590" w:lineRule="exact"/>
        <w:ind w:firstLine="640" w:firstLineChars="200"/>
        <w:jc w:val="both"/>
        <w:rPr>
          <w:rFonts w:hint="eastAsia" w:ascii="Times New Roman" w:eastAsia="方正仿宋_GBK" w:cs="Times New Roman"/>
          <w:snapToGrid w:val="0"/>
          <w:color w:val="auto"/>
          <w:kern w:val="2"/>
          <w:sz w:val="32"/>
          <w:szCs w:val="32"/>
        </w:rPr>
      </w:pPr>
      <w:r>
        <w:rPr>
          <w:rFonts w:hint="eastAsia" w:ascii="Times New Roman" w:eastAsia="方正仿宋_GBK" w:cs="Times New Roman"/>
          <w:snapToGrid w:val="0"/>
          <w:color w:val="auto"/>
          <w:kern w:val="2"/>
          <w:sz w:val="32"/>
          <w:szCs w:val="32"/>
        </w:rPr>
        <w:t xml:space="preserve">其他各级党委和政府有关部门、人民团体、事业单位（以下统称企业主管部门）所管理的国有独资及国有控股企业，依照本办法执行。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由各级政府有关部门或机构作为实际控制人的企业，参照本办法执行。</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第三条</w:t>
      </w:r>
      <w:r>
        <w:rPr>
          <w:rFonts w:hint="eastAsia" w:eastAsia="方正仿宋_GBK"/>
          <w:snapToGrid w:val="0"/>
          <w:sz w:val="32"/>
          <w:szCs w:val="32"/>
        </w:rPr>
        <w:t xml:space="preserve">  工资总额执行结果备案的主要内容包括：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（一）企业报经履行出资人职责机构备案或核准的工资总额；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（二）履行出资人职责机构清算确定的应发工资总额；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（三）企业实际发放的工资总额及职工年平均工资；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 xml:space="preserve">（四）与工资总额联动的企业效益（含经济效益和社会效益）指标完成情况； </w:t>
      </w:r>
    </w:p>
    <w:p>
      <w:pPr>
        <w:adjustRightInd w:val="0"/>
        <w:snapToGrid w:val="0"/>
        <w:spacing w:line="590" w:lineRule="exact"/>
        <w:ind w:firstLine="640" w:firstLineChars="200"/>
        <w:rPr>
          <w:rFonts w:hint="eastAsia" w:eastAsia="方正仿宋_GBK"/>
          <w:snapToGrid w:val="0"/>
          <w:sz w:val="32"/>
          <w:szCs w:val="32"/>
        </w:rPr>
      </w:pPr>
      <w:r>
        <w:rPr>
          <w:rFonts w:hint="eastAsia" w:eastAsia="方正仿宋_GBK"/>
          <w:snapToGrid w:val="0"/>
          <w:sz w:val="32"/>
          <w:szCs w:val="32"/>
        </w:rPr>
        <w:t>（五）企业劳动生产率指标完成情况及与市场对标情况等。</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第四条</w:t>
      </w:r>
      <w:r>
        <w:rPr>
          <w:rFonts w:hint="eastAsia" w:eastAsia="方正仿宋_GBK"/>
          <w:snapToGrid w:val="0"/>
          <w:sz w:val="32"/>
          <w:szCs w:val="32"/>
        </w:rPr>
        <w:t xml:space="preserve">  企业应如实、全面、准确填报《广西壮族自治区国有企业工资总额执行结果备案表》，认真总结工资总额预算和执行情况，分析存在的问题及原因，提出改进完善工资总额监管的意见建议，并形成书面报告。</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第五条 </w:t>
      </w:r>
      <w:r>
        <w:rPr>
          <w:rFonts w:hint="eastAsia" w:eastAsia="方正仿宋_GBK"/>
          <w:snapToGrid w:val="0"/>
          <w:sz w:val="32"/>
          <w:szCs w:val="32"/>
        </w:rPr>
        <w:t xml:space="preserve"> 企业应于每年6月底前将上一年度《广西壮族自治区国有企业工资总额执行结果备案表》及总结分析报告报履行出资人职责机构。</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第六条 </w:t>
      </w:r>
      <w:r>
        <w:rPr>
          <w:rFonts w:hint="eastAsia" w:eastAsia="方正仿宋_GBK"/>
          <w:snapToGrid w:val="0"/>
          <w:sz w:val="32"/>
          <w:szCs w:val="32"/>
        </w:rPr>
        <w:t xml:space="preserve"> 履行出资人职责机构应认真总结分析所监管企业工资总额预算执行情况，汇总形成书面总结分析报告，于每年8月底前将本机构的书面总结分析报告及所监管企业报送的《广西壮族自治区国有企业工资总额执行结果备案表》、总结分析报告等备案材料报同级人力资源社会保障部门备案。</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第七条 </w:t>
      </w:r>
      <w:r>
        <w:rPr>
          <w:rFonts w:hint="eastAsia" w:eastAsia="方正仿宋_GBK"/>
          <w:snapToGrid w:val="0"/>
          <w:sz w:val="32"/>
          <w:szCs w:val="32"/>
        </w:rPr>
        <w:t xml:space="preserve"> 人力资源社会保障部门收到履行出资人职责机构报送的备案材料后，应对企业工资总额监管及执行结果情况进行汇总、分析，形成书面报告报同级人民政府。</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第八条 </w:t>
      </w:r>
      <w:r>
        <w:rPr>
          <w:rFonts w:hint="eastAsia" w:eastAsia="方正仿宋_GBK"/>
          <w:snapToGrid w:val="0"/>
          <w:sz w:val="32"/>
          <w:szCs w:val="32"/>
        </w:rPr>
        <w:t xml:space="preserve"> 人力资源社会保障部门在企业工资总额执行结果备案工作中发现工资总额监管不规范、企业执行结果存在较大偏差、超提超发工资等情况的，应向履行出资人职责机构发出预警通知或提出整改要求。</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第九条 </w:t>
      </w:r>
      <w:r>
        <w:rPr>
          <w:rFonts w:hint="eastAsia" w:eastAsia="方正仿宋_GBK"/>
          <w:snapToGrid w:val="0"/>
          <w:sz w:val="32"/>
          <w:szCs w:val="32"/>
        </w:rPr>
        <w:t xml:space="preserve"> 履行出资人职责机构在收到人力资源社会保障部门发出的预警通知或整改要求后，应及时改进完善工资总额监管，督促企业按要求进行整改，企业应按规定整改到位。</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第十条  </w:t>
      </w:r>
      <w:r>
        <w:rPr>
          <w:rFonts w:hint="eastAsia" w:eastAsia="方正仿宋_GBK"/>
          <w:snapToGrid w:val="0"/>
          <w:sz w:val="32"/>
          <w:szCs w:val="32"/>
        </w:rPr>
        <w:t>各设区市、县（市、区）可根据本办法，结合本地实际，制定所属国有企业工资总额执行结果备案办法。</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第十一条 </w:t>
      </w:r>
      <w:r>
        <w:rPr>
          <w:rFonts w:hint="eastAsia" w:eastAsia="方正仿宋_GBK"/>
          <w:snapToGrid w:val="0"/>
          <w:sz w:val="32"/>
          <w:szCs w:val="32"/>
        </w:rPr>
        <w:t xml:space="preserve"> 本办法由自治区人力资源社会保障厅负责解释。</w:t>
      </w:r>
    </w:p>
    <w:p>
      <w:pPr>
        <w:adjustRightInd w:val="0"/>
        <w:snapToGrid w:val="0"/>
        <w:spacing w:line="590" w:lineRule="exact"/>
        <w:ind w:firstLine="640" w:firstLineChars="200"/>
        <w:rPr>
          <w:rFonts w:hint="eastAsia" w:eastAsia="方正仿宋_GBK"/>
          <w:snapToGrid w:val="0"/>
          <w:sz w:val="32"/>
          <w:szCs w:val="32"/>
        </w:rPr>
      </w:pPr>
      <w:r>
        <w:rPr>
          <w:rFonts w:hint="eastAsia" w:ascii="方正黑体_GBK" w:eastAsia="方正黑体_GBK"/>
          <w:snapToGrid w:val="0"/>
          <w:sz w:val="32"/>
          <w:szCs w:val="32"/>
        </w:rPr>
        <w:t xml:space="preserve">第十二条  </w:t>
      </w:r>
      <w:r>
        <w:rPr>
          <w:rFonts w:hint="eastAsia" w:eastAsia="方正仿宋_GBK"/>
          <w:snapToGrid w:val="0"/>
          <w:sz w:val="32"/>
          <w:szCs w:val="32"/>
        </w:rPr>
        <w:t>本办法自2019年1月1日起施行。</w:t>
      </w: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ind w:firstLine="640" w:firstLineChars="200"/>
        <w:rPr>
          <w:rFonts w:hint="eastAsia" w:eastAsia="方正仿宋_GBK"/>
          <w:snapToGrid w:val="0"/>
          <w:sz w:val="32"/>
          <w:szCs w:val="32"/>
        </w:rPr>
      </w:pPr>
    </w:p>
    <w:p>
      <w:pPr>
        <w:adjustRightInd w:val="0"/>
        <w:snapToGrid w:val="0"/>
        <w:spacing w:line="590" w:lineRule="exact"/>
        <w:ind w:firstLine="640" w:firstLineChars="200"/>
        <w:rPr>
          <w:rFonts w:hint="eastAsia" w:eastAsia="方正仿宋_GBK"/>
          <w:snapToGrid w:val="0"/>
          <w:sz w:val="44"/>
          <w:szCs w:val="44"/>
        </w:rPr>
      </w:pPr>
      <w:r>
        <w:rPr>
          <w:rFonts w:eastAsia="方正仿宋_GBK"/>
          <w:snapToGrid w:val="0"/>
          <w:sz w:val="32"/>
          <w:szCs w:val="32"/>
        </w:rPr>
        <w:br w:type="page"/>
      </w:r>
    </w:p>
    <w:p>
      <w:pPr>
        <w:adjustRightInd w:val="0"/>
        <w:snapToGrid w:val="0"/>
        <w:spacing w:line="59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广西壮族自治区国有企业工资总额</w:t>
      </w:r>
    </w:p>
    <w:p>
      <w:pPr>
        <w:adjustRightInd w:val="0"/>
        <w:snapToGrid w:val="0"/>
        <w:spacing w:line="59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执行结果备案表</w:t>
      </w:r>
    </w:p>
    <w:p>
      <w:pPr>
        <w:adjustRightInd w:val="0"/>
        <w:snapToGrid w:val="0"/>
        <w:spacing w:line="590" w:lineRule="exact"/>
        <w:jc w:val="center"/>
        <w:rPr>
          <w:rFonts w:hint="eastAsia" w:ascii="方正楷体_GBK" w:eastAsia="方正楷体_GBK"/>
          <w:snapToGrid w:val="0"/>
          <w:sz w:val="32"/>
          <w:szCs w:val="32"/>
        </w:rPr>
      </w:pPr>
      <w:r>
        <w:rPr>
          <w:rFonts w:hint="eastAsia" w:ascii="方正楷体_GBK" w:eastAsia="方正楷体_GBK"/>
          <w:snapToGrid w:val="0"/>
          <w:sz w:val="32"/>
          <w:szCs w:val="32"/>
        </w:rPr>
        <w:t>（企业填报）</w:t>
      </w:r>
    </w:p>
    <w:p>
      <w:pPr>
        <w:adjustRightInd w:val="0"/>
        <w:snapToGrid w:val="0"/>
        <w:spacing w:line="590" w:lineRule="exact"/>
        <w:jc w:val="center"/>
        <w:rPr>
          <w:rFonts w:hint="eastAsia" w:ascii="方正楷体_GBK" w:eastAsia="方正楷体_GBK"/>
          <w:snapToGrid w:val="0"/>
          <w:sz w:val="32"/>
          <w:szCs w:val="32"/>
        </w:rPr>
      </w:pPr>
    </w:p>
    <w:p>
      <w:pPr>
        <w:adjustRightInd w:val="0"/>
        <w:snapToGrid w:val="0"/>
        <w:spacing w:line="360" w:lineRule="exact"/>
        <w:rPr>
          <w:rFonts w:hint="eastAsia" w:eastAsia="方正仿宋_GBK"/>
          <w:snapToGrid w:val="0"/>
          <w:sz w:val="21"/>
          <w:szCs w:val="21"/>
        </w:rPr>
      </w:pPr>
      <w:r>
        <w:rPr>
          <w:rFonts w:hint="eastAsia" w:eastAsia="方正仿宋_GBK"/>
          <w:snapToGrid w:val="0"/>
          <w:sz w:val="21"/>
          <w:szCs w:val="21"/>
        </w:rPr>
        <w:t>企业名称（章）：                             工资总额监管部门：</w:t>
      </w:r>
    </w:p>
    <w:p>
      <w:pPr>
        <w:adjustRightInd w:val="0"/>
        <w:snapToGrid w:val="0"/>
        <w:spacing w:after="81" w:afterLines="20" w:line="360" w:lineRule="exact"/>
        <w:rPr>
          <w:rFonts w:hint="eastAsia" w:eastAsia="方正仿宋_GBK"/>
          <w:snapToGrid w:val="0"/>
          <w:sz w:val="21"/>
          <w:szCs w:val="21"/>
        </w:rPr>
      </w:pPr>
      <w:r>
        <w:rPr>
          <w:rFonts w:hint="eastAsia" w:eastAsia="方正仿宋_GBK"/>
          <w:snapToGrid w:val="0"/>
          <w:sz w:val="21"/>
          <w:szCs w:val="21"/>
        </w:rPr>
        <w:t>企业功能性质类型：□商业一类   □商业二类   □公益类   □金融类   □文化类   □未分类</w:t>
      </w:r>
    </w:p>
    <w:tbl>
      <w:tblPr>
        <w:tblStyle w:val="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
      <w:tblGrid>
        <w:gridCol w:w="4467"/>
        <w:gridCol w:w="770"/>
        <w:gridCol w:w="1693"/>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tblHeader/>
          <w:jc w:val="center"/>
        </w:trPr>
        <w:tc>
          <w:tcPr>
            <w:tcW w:w="4467" w:type="dxa"/>
            <w:vAlign w:val="center"/>
          </w:tcPr>
          <w:p>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rPr>
              <w:t>项目（指标）</w:t>
            </w:r>
          </w:p>
        </w:tc>
        <w:tc>
          <w:tcPr>
            <w:tcW w:w="770" w:type="dxa"/>
            <w:vAlign w:val="center"/>
          </w:tcPr>
          <w:p>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rPr>
              <w:t>年度</w:t>
            </w:r>
          </w:p>
        </w:tc>
        <w:tc>
          <w:tcPr>
            <w:tcW w:w="1693" w:type="dxa"/>
            <w:vAlign w:val="center"/>
          </w:tcPr>
          <w:p>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rPr>
              <w:t>与上年相比</w:t>
            </w:r>
          </w:p>
          <w:p>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rPr>
              <w:t>增长（下降）（%）</w:t>
            </w:r>
          </w:p>
        </w:tc>
        <w:tc>
          <w:tcPr>
            <w:tcW w:w="2142" w:type="dxa"/>
            <w:vAlign w:val="center"/>
          </w:tcPr>
          <w:p>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rPr>
              <w:t>市场对标情况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ascii="方正黑体_GBK" w:eastAsia="方正黑体_GBK"/>
                <w:snapToGrid w:val="0"/>
                <w:sz w:val="21"/>
                <w:szCs w:val="21"/>
              </w:rPr>
            </w:pPr>
            <w:r>
              <w:rPr>
                <w:rFonts w:hint="eastAsia" w:ascii="方正黑体_GBK" w:eastAsia="方正黑体_GBK"/>
                <w:snapToGrid w:val="0"/>
                <w:sz w:val="21"/>
                <w:szCs w:val="21"/>
              </w:rPr>
              <w:t>一、工资总额预算执行情况</w:t>
            </w:r>
          </w:p>
        </w:tc>
        <w:tc>
          <w:tcPr>
            <w:tcW w:w="770"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c>
          <w:tcPr>
            <w:tcW w:w="1693"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报出资监管机构备案或核准的工资总额（万元）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 xml:space="preserve">    其中：集团本部的工资总额（万元）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出资监管机构清算确定的应发工资总额（万元）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 xml:space="preserve">    其中：集团本部的应发工资总额（万元）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企业实发工资总额（万元）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 xml:space="preserve">    其中：集团本部的实发工资总额（万元）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职工年平均工资（元/人年）</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是全国平均工资   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 xml:space="preserve">    其中：集团本部职工年平均工资（元/人年）</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ascii="方正黑体_GBK" w:eastAsia="方正黑体_GBK"/>
                <w:snapToGrid w:val="0"/>
                <w:sz w:val="21"/>
                <w:szCs w:val="21"/>
              </w:rPr>
              <w:t>二、工资效益联动指标完成情况</w:t>
            </w:r>
          </w:p>
        </w:tc>
        <w:tc>
          <w:tcPr>
            <w:tcW w:w="770"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c>
          <w:tcPr>
            <w:tcW w:w="1693"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利润总额（或净利润）（万元）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增加值（万元）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经济增加值（万元）</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净资产收益率（%）</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重大任务完成率（%）（请列明任务名称）</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其他经济效益指标（请列明）</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国有资产保值增值率（%）</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ascii="方正黑体_GBK" w:eastAsia="方正黑体_GBK"/>
                <w:snapToGrid w:val="0"/>
                <w:sz w:val="21"/>
                <w:szCs w:val="21"/>
              </w:rPr>
              <w:t>三、与市场对标的劳动生产率指标完成情况</w:t>
            </w:r>
          </w:p>
        </w:tc>
        <w:tc>
          <w:tcPr>
            <w:tcW w:w="770"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c>
          <w:tcPr>
            <w:tcW w:w="1693"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人均利润（万元/人）</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人均经济增加值（万元/人）</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人均营业收入（万元/人）</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人均工作量（请列明）</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其他劳动生产率指标（请列明）</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人工成本利润率（%）</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人事费用率（%）</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57" w:type="dxa"/>
            <w:bottom w:w="45" w:type="dxa"/>
            <w:right w:w="57" w:type="dxa"/>
          </w:tblCellMar>
        </w:tblPrEx>
        <w:trPr>
          <w:trHeight w:val="397" w:hRule="atLeast"/>
          <w:jc w:val="center"/>
        </w:trPr>
        <w:tc>
          <w:tcPr>
            <w:tcW w:w="4467" w:type="dxa"/>
            <w:vAlign w:val="center"/>
          </w:tcPr>
          <w:p>
            <w:pPr>
              <w:adjustRightInd w:val="0"/>
              <w:snapToGrid w:val="0"/>
              <w:spacing w:line="280" w:lineRule="exact"/>
              <w:rPr>
                <w:rFonts w:hint="eastAsia" w:eastAsia="方正仿宋_GBK"/>
                <w:snapToGrid w:val="0"/>
                <w:sz w:val="21"/>
                <w:szCs w:val="21"/>
              </w:rPr>
            </w:pPr>
            <w:r>
              <w:rPr>
                <w:rFonts w:hint="eastAsia" w:eastAsia="方正仿宋_GBK"/>
                <w:snapToGrid w:val="0"/>
                <w:sz w:val="21"/>
                <w:szCs w:val="21"/>
              </w:rPr>
              <w:t>其他人工成本投入产出率指标（请列明）</w:t>
            </w:r>
          </w:p>
        </w:tc>
        <w:tc>
          <w:tcPr>
            <w:tcW w:w="770" w:type="dxa"/>
            <w:vAlign w:val="center"/>
          </w:tcPr>
          <w:p>
            <w:pPr>
              <w:adjustRightInd w:val="0"/>
              <w:snapToGrid w:val="0"/>
              <w:spacing w:line="280" w:lineRule="exact"/>
              <w:jc w:val="center"/>
              <w:rPr>
                <w:rFonts w:hint="eastAsia" w:eastAsia="方正仿宋_GBK"/>
                <w:snapToGrid w:val="0"/>
                <w:sz w:val="21"/>
                <w:szCs w:val="21"/>
              </w:rPr>
            </w:pPr>
          </w:p>
        </w:tc>
        <w:tc>
          <w:tcPr>
            <w:tcW w:w="1693" w:type="dxa"/>
            <w:vAlign w:val="center"/>
          </w:tcPr>
          <w:p>
            <w:pPr>
              <w:adjustRightInd w:val="0"/>
              <w:snapToGrid w:val="0"/>
              <w:spacing w:line="280" w:lineRule="exact"/>
              <w:jc w:val="center"/>
              <w:rPr>
                <w:rFonts w:hint="eastAsia" w:eastAsia="方正仿宋_GBK"/>
                <w:snapToGrid w:val="0"/>
                <w:sz w:val="21"/>
                <w:szCs w:val="21"/>
              </w:rPr>
            </w:pPr>
          </w:p>
        </w:tc>
        <w:tc>
          <w:tcPr>
            <w:tcW w:w="2142" w:type="dxa"/>
            <w:vAlign w:val="center"/>
          </w:tcPr>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□高于市场平均水平</w:t>
            </w:r>
          </w:p>
          <w:p>
            <w:pPr>
              <w:adjustRightInd w:val="0"/>
              <w:snapToGrid w:val="0"/>
              <w:spacing w:line="280" w:lineRule="exact"/>
              <w:jc w:val="center"/>
              <w:rPr>
                <w:rFonts w:hint="eastAsia" w:eastAsia="方正仿宋_GBK"/>
                <w:snapToGrid w:val="0"/>
                <w:sz w:val="21"/>
                <w:szCs w:val="21"/>
              </w:rPr>
            </w:pPr>
            <w:r>
              <w:rPr>
                <w:rFonts w:hint="eastAsia" w:eastAsia="方正仿宋_GBK"/>
                <w:snapToGrid w:val="0"/>
                <w:sz w:val="21"/>
                <w:szCs w:val="21"/>
              </w:rPr>
              <w:t>□低于市场平均水平</w:t>
            </w:r>
          </w:p>
        </w:tc>
      </w:tr>
    </w:tbl>
    <w:p>
      <w:bookmarkStart w:id="0" w:name="_GoBack"/>
      <w:bookmarkEnd w:id="0"/>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751BE"/>
    <w:rsid w:val="24171F74"/>
    <w:rsid w:val="3B752BCE"/>
    <w:rsid w:val="3D1751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2018-09-21T03:01:00Z</dcterms:created>
  <dc:creator>dengd</dc:creator>
  <cp:lastModifiedBy>dengd</cp:lastModifiedBy>
  <dcterms:modified xsi:type="dcterms:W3CDTF">2018-09-21T03:02:18Z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