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u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柳州市国资委</w:t>
      </w:r>
      <w:r>
        <w:rPr>
          <w:rFonts w:hint="eastAsia" w:ascii="Times New Roman" w:hAnsi="Times New Roman" w:eastAsia="方正小标宋简体" w:cs="Times New Roman"/>
          <w:lang w:eastAsia="zh-CN"/>
        </w:rPr>
        <w:t>普法责任</w:t>
      </w:r>
      <w:r>
        <w:rPr>
          <w:rFonts w:hint="default" w:ascii="Times New Roman" w:hAnsi="Times New Roman" w:eastAsia="方正小标宋简体" w:cs="Times New Roman"/>
        </w:rPr>
        <w:t>清单</w:t>
      </w:r>
    </w:p>
    <w:tbl>
      <w:tblPr>
        <w:tblStyle w:val="3"/>
        <w:tblpPr w:leftFromText="181" w:rightFromText="181" w:vertAnchor="text" w:horzAnchor="page" w:tblpX="1555" w:tblpY="523"/>
        <w:tblOverlap w:val="never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668"/>
        <w:gridCol w:w="1843"/>
        <w:gridCol w:w="1918"/>
        <w:gridCol w:w="3829"/>
        <w:gridCol w:w="142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名称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2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柳州市国资委</w:t>
            </w:r>
          </w:p>
        </w:tc>
        <w:tc>
          <w:tcPr>
            <w:tcW w:w="2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习近平法治思想、宪法、中国特色社会主义法律体系、国资监管相关法律法规及政策制度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市国资委干部职工、市直属国有企业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举办宣讲培训、线上学习宣传、现场咨询服务等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每季度开展一次学习培训或宣传活动，学习贯彻习近平法治思想，宣传宪法和中国特色社会主义法律体系，解读国资监管相关政策制度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2022年12月31日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政策法规科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20357"/>
    <w:rsid w:val="064A5629"/>
    <w:rsid w:val="09AE4930"/>
    <w:rsid w:val="2DDA3F72"/>
    <w:rsid w:val="30C20357"/>
    <w:rsid w:val="72571336"/>
    <w:rsid w:val="7FDE65E2"/>
    <w:rsid w:val="E6AFF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2021-08-12T23:52:00Z</dcterms:created>
  <dc:creator>hyz</dc:creator>
  <cp:lastModifiedBy>gxxc</cp:lastModifiedBy>
  <cp:lastPrinted>2022-06-14T23:28:00Z</cp:lastPrinted>
  <dcterms:modified xsi:type="dcterms:W3CDTF">2022-06-15T17:14:25Z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