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华文中宋" w:hAnsi="华文中宋" w:eastAsia="华文中宋"/>
          <w:b/>
          <w:color w:val="FF0000"/>
          <w:sz w:val="48"/>
          <w:szCs w:val="48"/>
        </w:rPr>
      </w:pPr>
      <w:bookmarkStart w:id="0" w:name="_GoBack"/>
      <w:bookmarkEnd w:id="0"/>
      <w:r>
        <w:rPr>
          <w:rFonts w:hint="eastAsia" w:ascii="华文中宋" w:hAnsi="华文中宋" w:eastAsia="华文中宋"/>
          <w:b/>
          <w:color w:val="FF0000"/>
          <w:sz w:val="48"/>
          <w:szCs w:val="48"/>
        </w:rPr>
        <w:t>广西</w:t>
      </w:r>
      <w:r>
        <w:rPr>
          <w:rFonts w:hint="eastAsia" w:ascii="宋体" w:hAnsi="宋体" w:cs="宋体"/>
          <w:b/>
          <w:color w:val="FF0000"/>
          <w:sz w:val="48"/>
          <w:szCs w:val="48"/>
        </w:rPr>
        <w:t>壮</w:t>
      </w:r>
      <w:r>
        <w:rPr>
          <w:rFonts w:hint="eastAsia" w:ascii="Dotum" w:hAnsi="Dotum" w:eastAsia="Dotum" w:cs="Dotum"/>
          <w:b/>
          <w:color w:val="FF0000"/>
          <w:sz w:val="48"/>
          <w:szCs w:val="48"/>
        </w:rPr>
        <w:t>族自治</w:t>
      </w:r>
      <w:r>
        <w:rPr>
          <w:rFonts w:hint="eastAsia" w:ascii="宋体" w:hAnsi="宋体" w:cs="宋体"/>
          <w:b/>
          <w:color w:val="FF0000"/>
          <w:sz w:val="48"/>
          <w:szCs w:val="48"/>
        </w:rPr>
        <w:t>区</w:t>
      </w:r>
      <w:r>
        <w:rPr>
          <w:rFonts w:hint="eastAsia" w:ascii="Dotum" w:hAnsi="Dotum" w:eastAsia="Dotum" w:cs="Dotum"/>
          <w:b/>
          <w:color w:val="FF0000"/>
          <w:sz w:val="48"/>
          <w:szCs w:val="48"/>
        </w:rPr>
        <w:t>柳州市人民政府</w:t>
      </w:r>
    </w:p>
    <w:p>
      <w:pPr>
        <w:spacing w:line="600" w:lineRule="exact"/>
        <w:jc w:val="center"/>
        <w:rPr>
          <w:rFonts w:hint="eastAsia" w:ascii="华文中宋" w:hAnsi="华文中宋" w:eastAsia="华文中宋"/>
          <w:b/>
          <w:color w:val="FF0000"/>
          <w:sz w:val="52"/>
          <w:szCs w:val="52"/>
        </w:rPr>
      </w:pPr>
    </w:p>
    <w:p>
      <w:pPr>
        <w:spacing w:line="680" w:lineRule="exact"/>
        <w:ind w:left="-2" w:leftChars="-101" w:right="-281" w:rightChars="-134" w:hanging="210" w:hangingChars="29"/>
        <w:jc w:val="center"/>
        <w:rPr>
          <w:rFonts w:hint="eastAsia" w:ascii="宋体" w:hAnsi="宋体"/>
          <w:b/>
          <w:color w:val="FF0000"/>
          <w:sz w:val="72"/>
          <w:szCs w:val="72"/>
        </w:rPr>
      </w:pPr>
      <w:r>
        <w:rPr>
          <w:rFonts w:hint="eastAsia" w:ascii="宋体" w:hAnsi="宋体"/>
          <w:b/>
          <w:color w:val="FF0000"/>
          <w:sz w:val="72"/>
          <w:szCs w:val="72"/>
        </w:rPr>
        <w:t>国有资产监督管理委员会文件</w:t>
      </w:r>
    </w:p>
    <w:p>
      <w:pPr>
        <w:spacing w:line="600" w:lineRule="exact"/>
        <w:jc w:val="center"/>
        <w:rPr>
          <w:rFonts w:hint="eastAsia" w:ascii="仿宋_GB2312" w:hAnsi="仿宋" w:eastAsia="仿宋_GB2312"/>
          <w:color w:val="000000"/>
          <w:sz w:val="30"/>
          <w:szCs w:val="30"/>
        </w:rPr>
      </w:pPr>
      <w:r>
        <w:rPr>
          <w:rFonts w:hint="eastAsia" w:ascii="宋体" w:hAnsi="宋体" w:cs="宋体"/>
          <w:b/>
          <w:color w:val="FFFFFF"/>
          <w:sz w:val="60"/>
          <w:szCs w:val="60"/>
        </w:rPr>
        <w:t>国</w:t>
      </w:r>
      <w:r>
        <w:rPr>
          <w:rFonts w:hint="eastAsia" w:ascii="Dotum" w:hAnsi="Dotum" w:eastAsia="Dotum" w:cs="Dotum"/>
          <w:b/>
          <w:color w:val="FFFFFF"/>
          <w:sz w:val="60"/>
          <w:szCs w:val="60"/>
        </w:rPr>
        <w:t>有</w:t>
      </w:r>
      <w:r>
        <w:rPr>
          <w:rFonts w:hint="eastAsia" w:ascii="宋体" w:hAnsi="宋体" w:cs="宋体"/>
          <w:b/>
          <w:color w:val="FFFFFF"/>
          <w:sz w:val="60"/>
          <w:szCs w:val="60"/>
        </w:rPr>
        <w:t>资产监</w:t>
      </w:r>
      <w:r>
        <w:rPr>
          <w:rFonts w:hint="eastAsia" w:ascii="Dotum" w:hAnsi="Dotum" w:eastAsia="Dotum" w:cs="Dotum"/>
          <w:b/>
          <w:color w:val="FFFFFF"/>
          <w:sz w:val="60"/>
          <w:szCs w:val="60"/>
        </w:rPr>
        <w:t>督管理委</w:t>
      </w:r>
      <w:r>
        <w:rPr>
          <w:rFonts w:hint="eastAsia" w:ascii="宋体" w:hAnsi="宋体" w:cs="宋体"/>
          <w:b/>
          <w:color w:val="FFFFFF"/>
          <w:sz w:val="60"/>
          <w:szCs w:val="60"/>
        </w:rPr>
        <w:t>员会</w:t>
      </w:r>
      <w:r>
        <w:rPr>
          <w:rFonts w:hint="eastAsia" w:ascii="Dotum" w:hAnsi="Dotum" w:eastAsia="Dotum" w:cs="Dotum"/>
          <w:b/>
          <w:color w:val="FFFFFF"/>
          <w:sz w:val="60"/>
          <w:szCs w:val="60"/>
        </w:rPr>
        <w:t>文件</w:t>
      </w:r>
      <w:r>
        <w:rPr>
          <w:rFonts w:hint="eastAsia" w:ascii="仿宋_GB2312" w:hAnsi="华文中宋" w:eastAsia="仿宋_GB2312"/>
          <w:sz w:val="30"/>
          <w:szCs w:val="30"/>
        </w:rPr>
        <w:t xml:space="preserve">                     </w:t>
      </w:r>
    </w:p>
    <w:p>
      <w:pPr>
        <w:jc w:val="center"/>
        <w:rPr>
          <w:rFonts w:hint="eastAsia" w:eastAsia="仿宋_GB2312"/>
          <w:sz w:val="32"/>
          <w:szCs w:val="32"/>
        </w:rPr>
      </w:pPr>
      <w:r>
        <w:rPr>
          <w:rFonts w:ascii="仿宋_GB2312" w:hAnsi="华文中宋" w:eastAsia="仿宋_GB2312"/>
          <w:sz w:val="30"/>
          <w:szCs w:val="30"/>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393065</wp:posOffset>
                </wp:positionV>
                <wp:extent cx="6134100" cy="0"/>
                <wp:effectExtent l="0" t="14605" r="0" b="23495"/>
                <wp:wrapNone/>
                <wp:docPr id="1" name="直线 3"/>
                <wp:cNvGraphicFramePr/>
                <a:graphic xmlns:a="http://schemas.openxmlformats.org/drawingml/2006/main">
                  <a:graphicData uri="http://schemas.microsoft.com/office/word/2010/wordprocessingShape">
                    <wps:wsp>
                      <wps:cNvSpPr/>
                      <wps:spPr>
                        <a:xfrm>
                          <a:off x="0" y="0"/>
                          <a:ext cx="6134100" cy="0"/>
                        </a:xfrm>
                        <a:prstGeom prst="line">
                          <a:avLst/>
                        </a:prstGeom>
                        <a:ln w="2921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0.5pt;margin-top:30.95pt;height:0pt;width:483pt;z-index:251657216;mso-width-relative:page;mso-height-relative:page;" filled="f" stroked="t" coordsize="21600,21600" o:gfxdata="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Qzj7d1AAA&#10;AAkBAAAPAAAAAAAAAAEAIAAAACIAAABkcnMvZG93bnJldi54bWxQSwECFAAUAAAACACHTuJAE+kC&#10;7+kBAADcAwAADgAAAAAAAAABACAAAAAjAQAAZHJzL2Uyb0RvYy54bWxQSwUGAAAAAAYABgBZAQAA&#10;fgUAAAAA&#10;">
                <v:fill on="f" focussize="0,0"/>
                <v:stroke weight="2.3pt" color="#FF0000" joinstyle="round"/>
                <v:imagedata o:title=""/>
                <o:lock v:ext="edit" aspectratio="f"/>
              </v:line>
            </w:pict>
          </mc:Fallback>
        </mc:AlternateContent>
      </w:r>
      <w:r>
        <w:rPr>
          <w:rFonts w:eastAsia="仿宋_GB2312"/>
          <w:sz w:val="32"/>
          <w:szCs w:val="32"/>
        </w:rPr>
        <w:t>柳国资〔201</w:t>
      </w:r>
      <w:r>
        <w:rPr>
          <w:rFonts w:hint="eastAsia" w:eastAsia="仿宋_GB2312"/>
          <w:sz w:val="32"/>
          <w:szCs w:val="32"/>
        </w:rPr>
        <w:t>7</w:t>
      </w:r>
      <w:r>
        <w:rPr>
          <w:rFonts w:eastAsia="仿宋_GB2312"/>
          <w:sz w:val="32"/>
          <w:szCs w:val="32"/>
        </w:rPr>
        <w:t>〕</w:t>
      </w:r>
      <w:r>
        <w:rPr>
          <w:rFonts w:hint="eastAsia" w:eastAsia="仿宋_GB2312"/>
          <w:sz w:val="32"/>
          <w:szCs w:val="32"/>
        </w:rPr>
        <w:t>167</w:t>
      </w:r>
      <w:r>
        <w:rPr>
          <w:rFonts w:eastAsia="仿宋_GB2312"/>
          <w:sz w:val="32"/>
          <w:szCs w:val="32"/>
        </w:rPr>
        <w:t>号</w:t>
      </w:r>
    </w:p>
    <w:p>
      <w:pPr>
        <w:spacing w:line="500" w:lineRule="exact"/>
        <w:jc w:val="center"/>
        <w:rPr>
          <w:rFonts w:eastAsia="仿宋_GB2312"/>
          <w:sz w:val="32"/>
          <w:szCs w:val="32"/>
        </w:rPr>
      </w:pPr>
    </w:p>
    <w:p>
      <w:pPr>
        <w:spacing w:line="520" w:lineRule="exact"/>
        <w:jc w:val="center"/>
        <w:rPr>
          <w:bCs/>
          <w:sz w:val="44"/>
          <w:szCs w:val="44"/>
          <w:lang w:val="en-GB"/>
        </w:rPr>
      </w:pPr>
      <w:r>
        <w:rPr>
          <w:bCs/>
          <w:sz w:val="44"/>
          <w:szCs w:val="44"/>
          <w:lang w:val="en-GB"/>
        </w:rPr>
        <w:t>柳州市人民政府国有资产监督管理委员会</w:t>
      </w:r>
    </w:p>
    <w:p>
      <w:pPr>
        <w:spacing w:line="520" w:lineRule="exact"/>
        <w:jc w:val="center"/>
        <w:rPr>
          <w:rFonts w:hint="eastAsia" w:ascii="宋体" w:hAnsi="宋体"/>
          <w:color w:val="000000"/>
          <w:sz w:val="44"/>
          <w:szCs w:val="44"/>
        </w:rPr>
      </w:pPr>
      <w:r>
        <w:rPr>
          <w:rFonts w:hint="eastAsia" w:ascii="宋体" w:hAnsi="宋体"/>
          <w:color w:val="000000"/>
          <w:sz w:val="44"/>
          <w:szCs w:val="44"/>
        </w:rPr>
        <w:t>关于加快构建柳州市国资委监管企业</w:t>
      </w:r>
    </w:p>
    <w:p>
      <w:pPr>
        <w:spacing w:line="520" w:lineRule="exact"/>
        <w:jc w:val="center"/>
        <w:rPr>
          <w:rFonts w:ascii="宋体"/>
          <w:color w:val="000000"/>
          <w:sz w:val="44"/>
          <w:szCs w:val="44"/>
        </w:rPr>
      </w:pPr>
      <w:r>
        <w:rPr>
          <w:rFonts w:hint="eastAsia" w:ascii="宋体" w:hAnsi="宋体"/>
          <w:color w:val="000000"/>
          <w:sz w:val="44"/>
          <w:szCs w:val="44"/>
        </w:rPr>
        <w:t>内部控制体系有关事项的通知</w:t>
      </w:r>
    </w:p>
    <w:p>
      <w:pPr>
        <w:widowControl/>
        <w:shd w:val="clear" w:color="auto" w:fill="FAFAFA"/>
        <w:spacing w:line="560" w:lineRule="atLeast"/>
        <w:rPr>
          <w:rFonts w:hint="eastAsia" w:ascii="仿宋" w:hAnsi="仿宋" w:eastAsia="仿宋" w:cs="宋体"/>
          <w:kern w:val="0"/>
          <w:sz w:val="30"/>
          <w:szCs w:val="30"/>
        </w:rPr>
      </w:pPr>
    </w:p>
    <w:p>
      <w:pPr>
        <w:widowControl/>
        <w:shd w:val="clear" w:color="auto" w:fill="FAFAFA"/>
        <w:spacing w:line="560" w:lineRule="atLeas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市属国有企业：</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为深化国有企业改革，加快构建内部控制体系，夯实基础管理工作，促进企业实现做强做优做大的发展目标，根据财政部等五部委印发的《企业内部控制基本规范》和配套指引的有关要求,结合市属国有企业的实际情况，经研究，现就加快构建市国资委监管企业内部控制体系有关事项通知如下：</w:t>
      </w:r>
    </w:p>
    <w:p>
      <w:pPr>
        <w:pStyle w:val="20"/>
        <w:spacing w:before="100" w:beforeAutospacing="1"/>
        <w:ind w:firstLine="630" w:firstLineChars="196"/>
        <w:rPr>
          <w:rFonts w:hint="eastAsia" w:ascii="黑体" w:hAnsi="黑体" w:eastAsia="黑体"/>
          <w:b/>
          <w:sz w:val="32"/>
          <w:szCs w:val="32"/>
        </w:rPr>
      </w:pPr>
      <w:r>
        <w:rPr>
          <w:rFonts w:hint="eastAsia" w:ascii="黑体" w:hAnsi="黑体" w:eastAsia="黑体"/>
          <w:b/>
          <w:sz w:val="32"/>
          <w:szCs w:val="32"/>
        </w:rPr>
        <w:t>一、统一认识，切实加强内部控制工作的组织领导</w:t>
      </w:r>
    </w:p>
    <w:p>
      <w:pPr>
        <w:ind w:firstLine="570"/>
        <w:rPr>
          <w:rFonts w:hint="eastAsia" w:ascii="仿宋_GB2312" w:hAnsi="仿宋" w:eastAsia="仿宋_GB2312"/>
          <w:sz w:val="32"/>
          <w:szCs w:val="32"/>
        </w:rPr>
      </w:pPr>
      <w:r>
        <w:rPr>
          <w:rFonts w:hint="eastAsia" w:ascii="仿宋_GB2312" w:hAnsi="仿宋" w:eastAsia="仿宋_GB2312"/>
          <w:sz w:val="32"/>
          <w:szCs w:val="32"/>
        </w:rPr>
        <w:t>全面建设企业内部控制体系，既是国家法律法规的要求，也是推动企业管理变革、提高经营效率、防范各类风险的迫切需要。企业主要负责人要高度重视内部控制工作，将建立健全内部控制体系作为管理提升活动的重要任务来抓，切实加强组织领导。集团层面要成立专门的内部控制工作领导机构，负责内部控制工作的组织协调；设立专职机构或确定牵头部门，配备专职工作人员，具体负责内部控制体系建设与实施工作；建立相关部门共同参与的跨部门联动工作机制，明确分工，落实责任，共同推进，并做好对子企业内部控制建设的组织指导工作；按照内部控制建设与监督评价职责相分离的原则，明确内部审计或相关部门负责组织内部控制评价工作。</w:t>
      </w:r>
    </w:p>
    <w:p>
      <w:pPr>
        <w:pStyle w:val="10"/>
        <w:spacing w:after="0" w:afterAutospacing="0" w:line="432" w:lineRule="auto"/>
        <w:ind w:firstLine="630" w:firstLineChars="196"/>
        <w:rPr>
          <w:rFonts w:hint="eastAsia" w:ascii="黑体" w:hAnsi="黑体" w:eastAsia="黑体"/>
          <w:b/>
          <w:kern w:val="2"/>
          <w:sz w:val="32"/>
          <w:szCs w:val="32"/>
        </w:rPr>
      </w:pPr>
      <w:r>
        <w:rPr>
          <w:rFonts w:hint="eastAsia" w:ascii="黑体" w:hAnsi="黑体" w:eastAsia="黑体"/>
          <w:b/>
          <w:kern w:val="2"/>
          <w:sz w:val="32"/>
          <w:szCs w:val="32"/>
        </w:rPr>
        <w:t>二、稳步推进，全面开展内部控制建设与实施工作</w:t>
      </w:r>
    </w:p>
    <w:p>
      <w:pPr>
        <w:pStyle w:val="10"/>
        <w:spacing w:before="0" w:beforeAutospacing="0" w:after="0" w:afterAutospacing="0" w:line="432" w:lineRule="auto"/>
        <w:ind w:firstLine="480"/>
        <w:rPr>
          <w:rFonts w:hint="eastAsia" w:ascii="仿宋_GB2312" w:hAnsi="仿宋" w:eastAsia="仿宋_GB2312"/>
          <w:kern w:val="2"/>
          <w:sz w:val="32"/>
          <w:szCs w:val="32"/>
        </w:rPr>
      </w:pPr>
      <w:r>
        <w:rPr>
          <w:rFonts w:hint="eastAsia" w:ascii="仿宋_GB2312" w:hAnsi="仿宋" w:eastAsia="仿宋_GB2312"/>
          <w:kern w:val="2"/>
          <w:sz w:val="32"/>
          <w:szCs w:val="32"/>
        </w:rPr>
        <w:t>各企业要用两年的时间，按照《企业内部控制基本规范》和配套指引，建立规范、完善的内部控制体系。全面开展内部控制体系建设工作，制订全集团（公司）内部控制体系建设实施方案，确保2018年底前建立并执行覆盖全集团（公司）的内部控制体系。制订内部控制体系建设实施方案，要结合本企业实际，以提高经营效率为目标，以风险管理为导向，以流程梳理为基础，以财务内部控制为切入点，以关键控制活动为重点，明确集团公司本部和所属子企业的总体建设目标和分阶段任务。</w:t>
      </w:r>
    </w:p>
    <w:p>
      <w:pPr>
        <w:pStyle w:val="10"/>
        <w:spacing w:after="0" w:afterAutospacing="0" w:line="432" w:lineRule="auto"/>
        <w:ind w:firstLine="482"/>
        <w:rPr>
          <w:rFonts w:hint="eastAsia" w:ascii="黑体" w:hAnsi="黑体" w:eastAsia="黑体"/>
          <w:b/>
          <w:kern w:val="2"/>
          <w:sz w:val="32"/>
          <w:szCs w:val="32"/>
        </w:rPr>
      </w:pPr>
      <w:r>
        <w:rPr>
          <w:rFonts w:hint="eastAsia" w:ascii="黑体" w:hAnsi="黑体" w:eastAsia="黑体"/>
          <w:b/>
          <w:kern w:val="2"/>
          <w:sz w:val="32"/>
          <w:szCs w:val="32"/>
        </w:rPr>
        <w:t>三、立足实际，抓好内部控制体系建设的关键环节</w:t>
      </w:r>
    </w:p>
    <w:p>
      <w:pPr>
        <w:pStyle w:val="10"/>
        <w:spacing w:before="0" w:beforeAutospacing="0" w:after="0" w:afterAutospacing="0" w:line="432" w:lineRule="auto"/>
        <w:ind w:firstLine="480"/>
        <w:rPr>
          <w:rFonts w:hint="eastAsia" w:ascii="仿宋_GB2312" w:hAnsi="仿宋" w:eastAsia="仿宋_GB2312"/>
          <w:kern w:val="2"/>
          <w:sz w:val="32"/>
          <w:szCs w:val="32"/>
        </w:rPr>
      </w:pPr>
      <w:r>
        <w:rPr>
          <w:rFonts w:hint="eastAsia" w:ascii="仿宋_GB2312" w:hAnsi="仿宋" w:eastAsia="仿宋_GB2312"/>
          <w:kern w:val="2"/>
          <w:sz w:val="32"/>
          <w:szCs w:val="32"/>
        </w:rPr>
        <w:t>各企业要按照管理制度化、制度流程化、流程信息化的要求，立足企业实际，倡导全员参与，注重控制实效，抓好内部控制建设的基础工作和关键环节。一是建立规范的公司治理结构和议事规则，合理设置各类治理主体的职责权限，规范决策程序，确保“三重一大”集体决策制度的有效落实。二是以价值管理为主线，以风险管理为导向，全面梳理各类各项业务流程，查找经营管理风险点，评估风险影响程度，编制分类风险与缺陷清单，明确关键控制节点和控制要求，实施业务流程再造，编制内部控制管理手册，促进业务处理规范化和标准化。三是加强重点流程与重要业务的内部控制，着力抓好资金、投资、担保、采购、销售、项目建设、合同管理、资产管理、人力资源管理、安全生产等关键业务流程控制，建立重大风险预警与应急机制。四是结合内部控制目标，梳理完善管理制度体系，并根据业务发展和外部经营环境变化，持续检验和评估管理制度的有效性，建立动态调整与改进机制。五是推进内部控制体系与企业信息化建设的融合对接，在将制度和控制措施嵌入流程的基础上，结合企业信息化建设，将业务流程和控制措施逐步固化到信息系统，实现在线运行。</w:t>
      </w:r>
    </w:p>
    <w:p>
      <w:pPr>
        <w:pStyle w:val="10"/>
        <w:spacing w:after="0" w:afterAutospacing="0" w:line="432" w:lineRule="auto"/>
        <w:ind w:firstLine="482"/>
        <w:rPr>
          <w:rFonts w:hint="eastAsia" w:ascii="黑体" w:hAnsi="黑体" w:eastAsia="黑体"/>
          <w:b/>
          <w:kern w:val="2"/>
          <w:sz w:val="32"/>
          <w:szCs w:val="32"/>
        </w:rPr>
      </w:pPr>
      <w:r>
        <w:rPr>
          <w:rFonts w:hint="eastAsia" w:ascii="黑体" w:hAnsi="黑体" w:eastAsia="黑体"/>
          <w:b/>
          <w:kern w:val="2"/>
          <w:sz w:val="32"/>
          <w:szCs w:val="32"/>
        </w:rPr>
        <w:t>四、采取措施，确保内部控制有效执行</w:t>
      </w:r>
    </w:p>
    <w:p>
      <w:pPr>
        <w:pStyle w:val="10"/>
        <w:spacing w:before="0" w:beforeAutospacing="0" w:after="0" w:afterAutospacing="0" w:line="432" w:lineRule="auto"/>
        <w:ind w:firstLine="480"/>
        <w:rPr>
          <w:rFonts w:hint="eastAsia" w:ascii="仿宋_GB2312" w:hAnsi="仿宋" w:eastAsia="仿宋_GB2312"/>
          <w:kern w:val="2"/>
          <w:sz w:val="32"/>
          <w:szCs w:val="32"/>
        </w:rPr>
      </w:pPr>
      <w:r>
        <w:rPr>
          <w:rFonts w:hint="eastAsia" w:ascii="仿宋_GB2312" w:hAnsi="仿宋" w:eastAsia="仿宋_GB2312"/>
          <w:kern w:val="2"/>
          <w:sz w:val="32"/>
          <w:szCs w:val="32"/>
        </w:rPr>
        <w:t>各企业要采取切实措施，确保内部控制有效执行。一是要落实内部控制执行责任制，建立主要负责人承诺制，明确企业主要负责人对内部控制有效执行负总责，带头执行内部控制，不超越内部控制做决策。二是要逐级进行责任分解，将内部控制执行与管理权限配置、岗位责任落实有机结合，建立内部控制体系的培训机制，做好上岗前培训和持续教育，确保每个岗位员工熟知本岗位权限和职责，并具备相应的专业胜任能力，形成员工积极参与、自觉执行、主动监督的全员内部控制意识与氛围。三是建立重大风险信息沟通与报告路径、责任与处理机制，确保内部控制重大风险信息顺畅沟通和及时应对。四是加强内部控制日常监督检查，内部控制专职机构或牵头部门要通过在线测试、现场调查等方式，加强对同级部门和各级子企业内部控制执行有效性的日常监督检查，确保内部控制有效执行；尤其是内部控制出现无效或者失效时，要认真查找制度缺失或流程缺陷，分析原因，及时进行改进和完善。</w:t>
      </w:r>
    </w:p>
    <w:p>
      <w:pPr>
        <w:pStyle w:val="10"/>
        <w:spacing w:after="0" w:afterAutospacing="0" w:line="432" w:lineRule="auto"/>
        <w:ind w:firstLine="630" w:firstLineChars="196"/>
        <w:rPr>
          <w:rFonts w:hint="eastAsia" w:ascii="黑体" w:hAnsi="黑体" w:eastAsia="黑体"/>
          <w:b/>
          <w:kern w:val="2"/>
          <w:sz w:val="32"/>
          <w:szCs w:val="32"/>
        </w:rPr>
      </w:pPr>
      <w:r>
        <w:rPr>
          <w:rFonts w:hint="eastAsia" w:ascii="黑体" w:hAnsi="黑体" w:eastAsia="黑体"/>
          <w:b/>
          <w:kern w:val="2"/>
          <w:sz w:val="32"/>
          <w:szCs w:val="32"/>
        </w:rPr>
        <w:t>五、加强审计评价，促进内部控制持续改进与优化</w:t>
      </w:r>
    </w:p>
    <w:p>
      <w:pPr>
        <w:pStyle w:val="10"/>
        <w:spacing w:before="0" w:beforeAutospacing="0" w:after="0" w:afterAutospacing="0" w:line="432" w:lineRule="auto"/>
        <w:ind w:firstLine="570"/>
        <w:rPr>
          <w:rFonts w:hint="eastAsia" w:ascii="仿宋_GB2312" w:hAnsi="仿宋" w:eastAsia="仿宋_GB2312"/>
          <w:kern w:val="2"/>
          <w:sz w:val="32"/>
          <w:szCs w:val="32"/>
        </w:rPr>
      </w:pPr>
      <w:r>
        <w:rPr>
          <w:rFonts w:hint="eastAsia" w:ascii="仿宋_GB2312" w:hAnsi="仿宋" w:eastAsia="仿宋_GB2312"/>
          <w:kern w:val="2"/>
          <w:sz w:val="32"/>
          <w:szCs w:val="32"/>
        </w:rPr>
        <w:t>内部控制体系建设尤其是实施过程中，要认真组织开展内部控制体系的审计评价工作，促进内部控制持续改进与优化。一是要设计适合企业自身特点的评价体系和内部控制缺陷认定标准，并在集团（公司）范围内推行应用。二是企业内部审计或相关部门要组织开展对本集团（公司）内部控制的年度自评工作，尤其要加强对重点子企业和关键业务流程内部控制有效性的检查评价。三是要加强缺陷管理，通过内部控制审计评价工作，充分揭示内部控制的设计缺陷和运行缺陷，提出管理改进建议，及时报告董事会和管理层，并跟踪落实缺陷整改，实现内部控制闭环管理。四是要建立内部控制重大缺陷追究制度，内部控制评价和审计结果要与履职评估或绩效考核相结合，逐级落实内部控制组织领导责任。五是要做好与风险管理工作的有机结合，内部控制是风险管理的有效措施，企业要紧密结合风险管理实践，充分利用风险管理体系框架，加强工作协同，形成工作合力，共同推动企业管理的持续改进。</w:t>
      </w:r>
    </w:p>
    <w:p>
      <w:pPr>
        <w:pStyle w:val="10"/>
        <w:spacing w:after="0" w:afterAutospacing="0" w:line="432" w:lineRule="auto"/>
        <w:ind w:firstLine="573"/>
        <w:rPr>
          <w:rFonts w:hint="eastAsia" w:ascii="黑体" w:hAnsi="黑体" w:eastAsia="黑体"/>
          <w:b/>
          <w:kern w:val="2"/>
          <w:sz w:val="32"/>
          <w:szCs w:val="32"/>
        </w:rPr>
      </w:pPr>
      <w:r>
        <w:rPr>
          <w:rFonts w:hint="eastAsia" w:ascii="黑体" w:hAnsi="黑体" w:eastAsia="黑体"/>
          <w:b/>
          <w:kern w:val="2"/>
          <w:sz w:val="32"/>
          <w:szCs w:val="32"/>
        </w:rPr>
        <w:t>六、加强出资人监督检查,推动责任落实。</w:t>
      </w:r>
    </w:p>
    <w:p>
      <w:pPr>
        <w:pStyle w:val="10"/>
        <w:spacing w:before="0" w:beforeAutospacing="0" w:after="0" w:afterAutospacing="0" w:line="432" w:lineRule="auto"/>
        <w:ind w:firstLine="570"/>
        <w:rPr>
          <w:rFonts w:hint="eastAsia" w:ascii="仿宋_GB2312" w:hAnsi="仿宋" w:eastAsia="仿宋_GB2312"/>
          <w:kern w:val="2"/>
          <w:sz w:val="32"/>
          <w:szCs w:val="32"/>
        </w:rPr>
      </w:pPr>
      <w:r>
        <w:rPr>
          <w:rFonts w:hint="eastAsia" w:ascii="仿宋_GB2312" w:hAnsi="仿宋" w:eastAsia="仿宋_GB2312"/>
          <w:kern w:val="2"/>
          <w:sz w:val="32"/>
          <w:szCs w:val="32"/>
        </w:rPr>
        <w:t>市国资委将加强对企业内部控制工作的监督检查，将内部控制有效性作为经济责任审计、专项审计以及各类监督检查工作的重要内容，并定期选取部分企业针对关键业务流程开展内部控制有效性的专项检查。监督检查中发现内部控制存在重大缺陷的，将根据其性质或影响程度在业绩考核中给予扣分或降级处理；对于因内部控制缺陷造成资产损失的，按照《柳州市国资委监管企业国有资产损失责任追究暂行办法》(柳国资〔2013〕66号)的有关规定，追究相关责任人的责任。</w:t>
      </w:r>
    </w:p>
    <w:p>
      <w:pPr>
        <w:pStyle w:val="10"/>
        <w:spacing w:before="0" w:beforeAutospacing="0" w:after="0" w:afterAutospacing="0" w:line="432" w:lineRule="auto"/>
        <w:ind w:firstLine="570"/>
        <w:rPr>
          <w:rFonts w:hint="eastAsia" w:ascii="仿宋_GB2312" w:hAnsi="仿宋" w:eastAsia="仿宋_GB2312"/>
          <w:kern w:val="2"/>
          <w:sz w:val="32"/>
          <w:szCs w:val="32"/>
        </w:rPr>
      </w:pPr>
      <w:r>
        <w:rPr>
          <w:rFonts w:hint="eastAsia" w:ascii="仿宋_GB2312" w:hAnsi="仿宋" w:eastAsia="仿宋_GB2312"/>
          <w:kern w:val="2"/>
          <w:sz w:val="32"/>
          <w:szCs w:val="32"/>
        </w:rPr>
        <w:t>各企业要高度重视内部控制工作，统筹协调，周密部署，抓紧推进内部控制建设与实施工作，采取有力措施保证内部控制有效执行，不断提升经营管理水平和可持续发展能力。</w:t>
      </w:r>
    </w:p>
    <w:p>
      <w:pPr>
        <w:pStyle w:val="10"/>
        <w:spacing w:before="0" w:beforeAutospacing="0" w:after="0" w:afterAutospacing="0" w:line="432" w:lineRule="auto"/>
        <w:ind w:firstLine="480"/>
        <w:rPr>
          <w:rFonts w:hint="eastAsia" w:ascii="仿宋_GB2312" w:hAnsi="Verdana" w:eastAsia="仿宋_GB2312" w:cs="宋体"/>
          <w:color w:val="000000"/>
          <w:sz w:val="32"/>
          <w:szCs w:val="32"/>
        </w:rPr>
      </w:pPr>
      <w:r>
        <w:rPr>
          <w:rFonts w:hint="eastAsia" w:ascii="仿宋_GB2312" w:hAnsi="Verdana" w:eastAsia="仿宋_GB2312"/>
          <w:color w:val="000000"/>
          <w:sz w:val="32"/>
          <w:szCs w:val="32"/>
        </w:rPr>
        <w:t xml:space="preserve">                                   </w:t>
      </w:r>
    </w:p>
    <w:p>
      <w:pPr>
        <w:ind w:firstLine="570"/>
        <w:rPr>
          <w:rFonts w:hint="eastAsia" w:ascii="仿宋_GB2312" w:hAnsi="Calibri" w:eastAsia="仿宋_GB2312"/>
          <w:sz w:val="32"/>
          <w:szCs w:val="32"/>
        </w:rPr>
      </w:pPr>
      <w:r>
        <w:rPr>
          <w:rFonts w:hint="eastAsia" w:ascii="仿宋_GB2312" w:eastAsia="仿宋_GB2312"/>
          <w:sz w:val="32"/>
          <w:szCs w:val="32"/>
        </w:rPr>
        <w:pict>
          <v:shape id="_x0000_s1028" o:spid="_x0000_s1028" o:spt="201" type="#_x0000_t201" style="position:absolute;left:0pt;margin-left:304.5pt;margin-top:13.75pt;height:119.65pt;width:119.65pt;z-index:251658240;mso-width-relative:page;mso-height-relative:page;" o:ole="t" filled="f" stroked="f" coordsize="21600,21600">
            <v:path/>
            <v:fill on="f" focussize="0,0"/>
            <v:stroke on="f" joinstyle="miter"/>
            <v:imagedata r:id="rId11" o:title=""/>
            <o:lock v:ext="edit"/>
          </v:shape>
          <w:control r:id="rId10" w:name="CWordOLECtrl1" w:shapeid="_x0000_s1028"/>
        </w:pict>
      </w:r>
    </w:p>
    <w:p>
      <w:pPr>
        <w:ind w:firstLine="570"/>
        <w:rPr>
          <w:rFonts w:hint="eastAsia" w:ascii="仿宋_GB2312" w:eastAsia="仿宋_GB2312"/>
          <w:sz w:val="32"/>
          <w:szCs w:val="32"/>
        </w:rPr>
      </w:pPr>
    </w:p>
    <w:p>
      <w:pPr>
        <w:ind w:firstLine="57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hAnsi="仿宋" w:eastAsia="仿宋_GB2312"/>
          <w:sz w:val="32"/>
          <w:szCs w:val="32"/>
        </w:rPr>
        <w:t>2017年 12月4日</w:t>
      </w: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r>
        <w:rPr>
          <w:rFonts w:hint="eastAsia" w:ascii="仿宋_GB2312" w:eastAsia="仿宋_GB2312"/>
          <w:b/>
          <w:sz w:val="32"/>
          <w:szCs w:val="32"/>
        </w:rPr>
        <w:t>公开方式：主动公开</w:t>
      </w:r>
    </w:p>
    <w:tbl>
      <w:tblPr>
        <w:tblStyle w:val="12"/>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5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9558" w:type="dxa"/>
            <w:tcBorders>
              <w:top w:val="single" w:color="auto" w:sz="4" w:space="0"/>
              <w:bottom w:val="single" w:color="auto" w:sz="4" w:space="0"/>
            </w:tcBorders>
          </w:tcPr>
          <w:p>
            <w:pPr>
              <w:spacing w:line="400" w:lineRule="exact"/>
              <w:ind w:right="-92" w:rightChars="-44" w:firstLine="150" w:firstLineChars="50"/>
              <w:rPr>
                <w:rFonts w:eastAsia="仿宋_GB2312"/>
                <w:sz w:val="30"/>
                <w:szCs w:val="30"/>
              </w:rPr>
            </w:pPr>
            <w:r>
              <w:rPr>
                <w:rFonts w:eastAsia="仿宋_GB2312"/>
                <w:sz w:val="30"/>
                <w:szCs w:val="30"/>
              </w:rPr>
              <w:t xml:space="preserve">柳州市国资委办公室                  </w:t>
            </w:r>
            <w:r>
              <w:rPr>
                <w:rFonts w:hint="eastAsia" w:eastAsia="仿宋_GB2312"/>
                <w:sz w:val="30"/>
                <w:szCs w:val="30"/>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201</w:t>
            </w:r>
            <w:r>
              <w:rPr>
                <w:rFonts w:hint="eastAsia" w:eastAsia="仿宋_GB2312"/>
                <w:sz w:val="30"/>
                <w:szCs w:val="30"/>
              </w:rPr>
              <w:t>7</w:t>
            </w:r>
            <w:r>
              <w:rPr>
                <w:rFonts w:eastAsia="仿宋_GB2312"/>
                <w:sz w:val="30"/>
                <w:szCs w:val="30"/>
              </w:rPr>
              <w:t>年</w:t>
            </w:r>
            <w:r>
              <w:rPr>
                <w:rFonts w:hint="eastAsia" w:eastAsia="仿宋_GB2312"/>
                <w:sz w:val="30"/>
                <w:szCs w:val="30"/>
              </w:rPr>
              <w:t>12</w:t>
            </w:r>
            <w:r>
              <w:rPr>
                <w:rFonts w:eastAsia="仿宋_GB2312"/>
                <w:sz w:val="30"/>
                <w:szCs w:val="30"/>
              </w:rPr>
              <w:t>月</w:t>
            </w:r>
            <w:r>
              <w:rPr>
                <w:rFonts w:hint="eastAsia" w:eastAsia="仿宋_GB2312"/>
                <w:sz w:val="30"/>
                <w:szCs w:val="30"/>
              </w:rPr>
              <w:t>4</w:t>
            </w:r>
            <w:r>
              <w:rPr>
                <w:rFonts w:eastAsia="仿宋_GB2312"/>
                <w:sz w:val="30"/>
                <w:szCs w:val="30"/>
              </w:rPr>
              <w:t>日印发</w:t>
            </w:r>
          </w:p>
        </w:tc>
      </w:tr>
    </w:tbl>
    <w:p>
      <w:pPr>
        <w:adjustRightInd w:val="0"/>
        <w:snapToGrid w:val="0"/>
        <w:spacing w:line="20" w:lineRule="exact"/>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021" w:right="1196" w:bottom="936"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Dotum">
    <w:panose1 w:val="020B0600000101010101"/>
    <w:charset w:val="81"/>
    <w:family w:val="swiss"/>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5</w:t>
    </w:r>
    <w:r>
      <w:rPr>
        <w:rStyle w:val="16"/>
      </w:rPr>
      <w:fldChar w:fldCharType="end"/>
    </w:r>
  </w:p>
  <w:p>
    <w:pPr>
      <w:pStyle w:val="8"/>
      <w:ind w:right="360"/>
    </w:pPr>
    <w:r>
      <w:rPr>
        <w:sz w:val="20"/>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rPr>
                              <w:rStyle w:val="16"/>
                            </w:rPr>
                          </w:pPr>
                        </w:p>
                      </w:txbxContent>
                    </wps:txbx>
                    <wps:bodyPr wrap="none" lIns="0" tIns="0" rIns="0" bIns="0" upright="1">
                      <a:spAutoFit/>
                    </wps:bodyPr>
                  </wps:wsp>
                </a:graphicData>
              </a:graphic>
            </wp:anchor>
          </w:drawing>
        </mc:Choice>
        <mc:Fallback>
          <w:pict>
            <v:shape id="文本框1" o:spid="_x0000_s1026" o:spt="202" type="#_x0000_t202" style="position:absolute;left:0pt;margin-top:0pt;height:10.35pt;width:4.55pt;mso-position-horizontal:center;mso-position-horizontal-relative:margin;mso-wrap-style:none;z-index:25165721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P/voc3NAQAAlQMAAA4AAAAAAAAAAQAgAAAAHwEAAGRycy9l&#10;Mm9Eb2MueG1sUEsFBgAAAAAGAAYAWQEAAF4FAAAAAA==&#10;">
              <v:fill on="f" focussize="0,0"/>
              <v:stroke on="f"/>
              <v:imagedata o:title=""/>
              <o:lock v:ext="edit" aspectratio="f"/>
              <v:textbox inset="0mm,0mm,0mm,0mm" style="mso-fit-shape-to-text:t;">
                <w:txbxContent>
                  <w:p>
                    <w:pPr>
                      <w:rPr>
                        <w:rStyle w:val="1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w: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3" name="文本框2"/>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文本框2"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qzVF0AAAAAMBAAAPAAAAAAAAAAEAIAAAACIAAABkcnMvZG93bnJl&#10;di54bWxQSwECFAAUAAAACACHTuJAY4HbaMwBAACVAwAADgAAAAAAAAABACAAAAAfAQAAZHJzL2Uy&#10;b0RvYy54bWxQSwUGAAAAAAYABgBZAQAAXQ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forms" w:enforcement="1" w:cryptProviderType="rsaFull" w:cryptAlgorithmClass="hash" w:cryptAlgorithmType="typeAny" w:cryptAlgorithmSid="4" w:cryptSpinCount="50000" w:hash="F5LXUA9dky3MMje8lJJPktLJpFg=" w:salt="EOLQMQ+2690lkFhrIVfRXQ=="/>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185"/>
    <w:rsid w:val="00051206"/>
    <w:rsid w:val="00055888"/>
    <w:rsid w:val="00076395"/>
    <w:rsid w:val="000C70D0"/>
    <w:rsid w:val="000D1730"/>
    <w:rsid w:val="000D73A9"/>
    <w:rsid w:val="000D7D5B"/>
    <w:rsid w:val="000E7D48"/>
    <w:rsid w:val="000F4460"/>
    <w:rsid w:val="000F6232"/>
    <w:rsid w:val="00134508"/>
    <w:rsid w:val="00151F26"/>
    <w:rsid w:val="00162858"/>
    <w:rsid w:val="00171930"/>
    <w:rsid w:val="001904AA"/>
    <w:rsid w:val="001956B0"/>
    <w:rsid w:val="001A7318"/>
    <w:rsid w:val="001B2DA0"/>
    <w:rsid w:val="001C1B8F"/>
    <w:rsid w:val="001E7CD0"/>
    <w:rsid w:val="001F7852"/>
    <w:rsid w:val="0020476E"/>
    <w:rsid w:val="00251C4D"/>
    <w:rsid w:val="00262643"/>
    <w:rsid w:val="00275D0B"/>
    <w:rsid w:val="002D2BB7"/>
    <w:rsid w:val="00326368"/>
    <w:rsid w:val="00330728"/>
    <w:rsid w:val="00332428"/>
    <w:rsid w:val="0034097F"/>
    <w:rsid w:val="00386B59"/>
    <w:rsid w:val="003A4C15"/>
    <w:rsid w:val="003C2FAF"/>
    <w:rsid w:val="003D6189"/>
    <w:rsid w:val="00434440"/>
    <w:rsid w:val="00462051"/>
    <w:rsid w:val="00464FA9"/>
    <w:rsid w:val="004714BB"/>
    <w:rsid w:val="00494C42"/>
    <w:rsid w:val="00516F64"/>
    <w:rsid w:val="00522CFD"/>
    <w:rsid w:val="00532DE8"/>
    <w:rsid w:val="005A6D2F"/>
    <w:rsid w:val="005E0B03"/>
    <w:rsid w:val="0061729D"/>
    <w:rsid w:val="00632E5D"/>
    <w:rsid w:val="0065264E"/>
    <w:rsid w:val="00686C17"/>
    <w:rsid w:val="00694E49"/>
    <w:rsid w:val="006A4BA8"/>
    <w:rsid w:val="006C1595"/>
    <w:rsid w:val="006D028E"/>
    <w:rsid w:val="006E1259"/>
    <w:rsid w:val="006F7C7F"/>
    <w:rsid w:val="007104BC"/>
    <w:rsid w:val="00713C8B"/>
    <w:rsid w:val="00764B66"/>
    <w:rsid w:val="007A205A"/>
    <w:rsid w:val="007C6360"/>
    <w:rsid w:val="007E0311"/>
    <w:rsid w:val="0080253E"/>
    <w:rsid w:val="00811F9A"/>
    <w:rsid w:val="008349B8"/>
    <w:rsid w:val="00841248"/>
    <w:rsid w:val="00847622"/>
    <w:rsid w:val="00852B62"/>
    <w:rsid w:val="00897602"/>
    <w:rsid w:val="008A41CF"/>
    <w:rsid w:val="008D7881"/>
    <w:rsid w:val="008F7A4E"/>
    <w:rsid w:val="00900141"/>
    <w:rsid w:val="009404C7"/>
    <w:rsid w:val="00944289"/>
    <w:rsid w:val="0096178E"/>
    <w:rsid w:val="009726DF"/>
    <w:rsid w:val="009A0AB2"/>
    <w:rsid w:val="009D0256"/>
    <w:rsid w:val="009D5760"/>
    <w:rsid w:val="00A0709D"/>
    <w:rsid w:val="00A12FF8"/>
    <w:rsid w:val="00A56DFE"/>
    <w:rsid w:val="00A6690C"/>
    <w:rsid w:val="00A86472"/>
    <w:rsid w:val="00AD1243"/>
    <w:rsid w:val="00B27552"/>
    <w:rsid w:val="00B3357D"/>
    <w:rsid w:val="00B33A8D"/>
    <w:rsid w:val="00B36053"/>
    <w:rsid w:val="00B42169"/>
    <w:rsid w:val="00B67227"/>
    <w:rsid w:val="00BD3662"/>
    <w:rsid w:val="00BD6D66"/>
    <w:rsid w:val="00BE433F"/>
    <w:rsid w:val="00BE4A98"/>
    <w:rsid w:val="00BF04D3"/>
    <w:rsid w:val="00BF0CB5"/>
    <w:rsid w:val="00C1276E"/>
    <w:rsid w:val="00C56420"/>
    <w:rsid w:val="00CA1533"/>
    <w:rsid w:val="00CC476F"/>
    <w:rsid w:val="00CD62BF"/>
    <w:rsid w:val="00CF72E5"/>
    <w:rsid w:val="00D00AA5"/>
    <w:rsid w:val="00D24CC9"/>
    <w:rsid w:val="00D2506F"/>
    <w:rsid w:val="00D4702F"/>
    <w:rsid w:val="00D76801"/>
    <w:rsid w:val="00DA0837"/>
    <w:rsid w:val="00DB7C43"/>
    <w:rsid w:val="00DC512A"/>
    <w:rsid w:val="00DD21B7"/>
    <w:rsid w:val="00DD6F90"/>
    <w:rsid w:val="00E11B21"/>
    <w:rsid w:val="00E20C56"/>
    <w:rsid w:val="00E24DF7"/>
    <w:rsid w:val="00E3047D"/>
    <w:rsid w:val="00E36581"/>
    <w:rsid w:val="00E670F2"/>
    <w:rsid w:val="00E72A95"/>
    <w:rsid w:val="00E77774"/>
    <w:rsid w:val="00ED1E56"/>
    <w:rsid w:val="00F20AAA"/>
    <w:rsid w:val="00F232A2"/>
    <w:rsid w:val="00F37CD3"/>
    <w:rsid w:val="00F800E0"/>
    <w:rsid w:val="00F853FC"/>
    <w:rsid w:val="00F904F9"/>
    <w:rsid w:val="00FE6786"/>
    <w:rsid w:val="05D62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annotation text"/>
    <w:basedOn w:val="1"/>
    <w:semiHidden/>
    <w:qFormat/>
    <w:uiPriority w:val="0"/>
    <w:pPr>
      <w:jc w:val="left"/>
    </w:pPr>
    <w:rPr>
      <w:rFonts w:ascii="Calibri" w:hAnsi="Calibri"/>
      <w:szCs w:val="22"/>
    </w:rPr>
  </w:style>
  <w:style w:type="paragraph" w:styleId="3">
    <w:name w:val="Body Text Indent"/>
    <w:basedOn w:val="1"/>
    <w:uiPriority w:val="0"/>
    <w:pPr>
      <w:spacing w:line="560" w:lineRule="exact"/>
      <w:ind w:left="149" w:leftChars="71" w:firstLine="450" w:firstLineChars="150"/>
    </w:pPr>
    <w:rPr>
      <w:rFonts w:ascii="仿宋_GB2312" w:eastAsia="仿宋_GB2312"/>
      <w:sz w:val="30"/>
      <w:szCs w:val="30"/>
    </w:rPr>
  </w:style>
  <w:style w:type="paragraph" w:styleId="4">
    <w:name w:val="Plain Text"/>
    <w:basedOn w:val="1"/>
    <w:uiPriority w:val="0"/>
    <w:rPr>
      <w:rFonts w:ascii="宋体" w:hAnsi="Courier New" w:cs="Courier New"/>
      <w:szCs w:val="21"/>
    </w:rPr>
  </w:style>
  <w:style w:type="paragraph" w:styleId="5">
    <w:name w:val="Date"/>
    <w:basedOn w:val="1"/>
    <w:next w:val="1"/>
    <w:uiPriority w:val="0"/>
    <w:pPr>
      <w:ind w:left="100" w:leftChars="2500"/>
    </w:pPr>
    <w:rPr>
      <w:sz w:val="28"/>
    </w:rPr>
  </w:style>
  <w:style w:type="paragraph" w:styleId="6">
    <w:name w:val="Body Text Indent 2"/>
    <w:basedOn w:val="1"/>
    <w:qFormat/>
    <w:uiPriority w:val="0"/>
    <w:pPr>
      <w:spacing w:after="120" w:line="480" w:lineRule="auto"/>
      <w:ind w:left="420" w:leftChars="200"/>
    </w:p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widowControl/>
      <w:spacing w:before="100" w:beforeAutospacing="1" w:after="100" w:afterAutospacing="1"/>
      <w:jc w:val="left"/>
    </w:pPr>
    <w:rPr>
      <w:rFonts w:ascii="宋体" w:hAnsi="宋体"/>
      <w:kern w:val="0"/>
      <w:sz w:val="24"/>
    </w:rPr>
  </w:style>
  <w:style w:type="paragraph" w:styleId="11">
    <w:name w:val="annotation subject"/>
    <w:basedOn w:val="2"/>
    <w:next w:val="2"/>
    <w:semiHidden/>
    <w:uiPriority w:val="0"/>
    <w:rPr>
      <w:rFonts w:ascii="Times New Roman" w:hAnsi="Times New Roman"/>
      <w:b/>
      <w:bCs/>
      <w:szCs w:val="24"/>
    </w:rPr>
  </w:style>
  <w:style w:type="table" w:styleId="13">
    <w:name w:val="Table Grid"/>
    <w:basedOn w:val="12"/>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page number"/>
    <w:basedOn w:val="14"/>
    <w:uiPriority w:val="0"/>
  </w:style>
  <w:style w:type="character" w:styleId="17">
    <w:name w:val="annotation reference"/>
    <w:basedOn w:val="14"/>
    <w:semiHidden/>
    <w:uiPriority w:val="0"/>
    <w:rPr>
      <w:sz w:val="21"/>
      <w:szCs w:val="21"/>
    </w:rPr>
  </w:style>
  <w:style w:type="paragraph" w:customStyle="1" w:styleId="18">
    <w:name w:val=" Char Char1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9">
    <w:name w:val="正文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List Paragraph"/>
    <w:basedOn w:val="1"/>
    <w:semiHidden/>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control" Target="activeX/activeX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5</Pages>
  <Words>392</Words>
  <Characters>2235</Characters>
  <Lines>18</Lines>
  <Paragraphs>5</Paragraphs>
  <TotalTime>1</TotalTime>
  <ScaleCrop>false</ScaleCrop>
  <LinksUpToDate>false</LinksUpToDate>
  <CharactersWithSpaces>2622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2017-12-18T02:12:00Z</dcterms:created>
  <dc:creator>Legend User</dc:creator>
  <cp:lastModifiedBy>梵帝刚</cp:lastModifiedBy>
  <cp:lastPrinted>2017-12-05T02:49:00Z</cp:lastPrinted>
  <dcterms:modified xsi:type="dcterms:W3CDTF">2020-12-23T00:40:09Z</dcterms:modified>
  <dc:title>柳国资发〔2005〕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docranid">
    <vt:lpwstr>BB7839DA7EDA4E589D91343763EDC3C3</vt:lpwstr>
  </property>
</Properties>
</file>